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July 29,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8</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95</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Jesus Paid it All</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Before the Throne of God</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2:1-3</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‘The Lord’s Day: Two Extremes to Avoid’</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MIghty to Save</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spacing w:line="240" w:lineRule="auto"/>
        <w:contextualSpacing w:val="0"/>
        <w:jc w:val="both"/>
        <w:rPr>
          <w:rFonts w:ascii="Ubuntu" w:cs="Ubuntu" w:eastAsia="Ubuntu" w:hAnsi="Ubuntu"/>
          <w:i w:val="1"/>
          <w:color w:val="3c3c3c"/>
          <w:sz w:val="18"/>
          <w:szCs w:val="18"/>
        </w:rPr>
      </w:pPr>
      <w:r w:rsidDel="00000000" w:rsidR="00000000" w:rsidRPr="00000000">
        <w:rPr>
          <w:rFonts w:ascii="Ubuntu" w:cs="Ubuntu" w:eastAsia="Ubuntu" w:hAnsi="Ubuntu"/>
          <w:i w:val="1"/>
          <w:color w:val="3c3c3c"/>
          <w:sz w:val="18"/>
          <w:szCs w:val="18"/>
          <w:highlight w:val="white"/>
          <w:rtl w:val="0"/>
        </w:rPr>
        <w:t xml:space="preserve">The busyness of things obscures our concentration on God … Never let a hurried lifestyle disturb the relationship of abiding in Him. This is an easy thing to allow, but we must guard against it.</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Oswald Chambers</w:t>
      </w:r>
      <w:r w:rsidDel="00000000" w:rsidR="00000000" w:rsidRPr="00000000">
        <w:rPr>
          <w:rtl w:val="0"/>
        </w:rPr>
      </w:r>
    </w:p>
    <w:p w:rsidR="00000000" w:rsidDel="00000000" w:rsidP="00000000" w:rsidRDefault="00000000" w:rsidRPr="00000000" w14:paraId="0000001C">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2">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3">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4">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5">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6">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7">
      <w:pPr>
        <w:spacing w:line="240" w:lineRule="auto"/>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RCSH is signed up for a booth at this year’s Pleasant Hills Community Day! The booth will open at 11:00 a.m. and run through 6:00 p.m. and will have information to hand out.  Saturday, August 11th at Mowry Park. We will have a sign-up sheet next week with finalized details for helping out at the booth. </w:t>
      </w:r>
    </w:p>
    <w:p w:rsidR="00000000" w:rsidDel="00000000" w:rsidP="00000000" w:rsidRDefault="00000000" w:rsidRPr="00000000" w14:paraId="0000002B">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Save the date!  Saturday, August 25th, 10:00 a.m. - 2:00 p.m.</w:t>
      </w:r>
    </w:p>
    <w:p w:rsidR="00000000" w:rsidDel="00000000" w:rsidP="00000000" w:rsidRDefault="00000000" w:rsidRPr="00000000" w14:paraId="0000002D">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E">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F">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0">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1">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2">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We will be taking a break on this for the rest of the summer and pick up again in September.</w:t>
      </w:r>
    </w:p>
    <w:p w:rsidR="00000000" w:rsidDel="00000000" w:rsidP="00000000" w:rsidRDefault="00000000" w:rsidRPr="00000000" w14:paraId="00000033">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4">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See Michele Tullai to have your email added to the list.</w:t>
      </w:r>
    </w:p>
    <w:p w:rsidR="00000000" w:rsidDel="00000000" w:rsidP="00000000" w:rsidRDefault="00000000" w:rsidRPr="00000000" w14:paraId="00000035">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6">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on Sunday, August 5th, however donations can given anytime in a clearly marked envelope or through online giving on our website or app.</w:t>
      </w:r>
    </w:p>
    <w:p w:rsidR="00000000" w:rsidDel="00000000" w:rsidP="00000000" w:rsidRDefault="00000000" w:rsidRPr="00000000" w14:paraId="00000037">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8">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